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F6" w:rsidRPr="002313C9" w:rsidRDefault="00CE3DF6"/>
    <w:p w:rsidR="00CE3DF6" w:rsidRPr="002313C9" w:rsidRDefault="00CE3DF6" w:rsidP="00CE3DF6">
      <w:pPr>
        <w:pStyle w:val="Title"/>
        <w:rPr>
          <w:rFonts w:asciiTheme="minorHAnsi" w:hAnsiTheme="minorHAnsi"/>
          <w:b/>
          <w:color w:val="2F5496" w:themeColor="accent5" w:themeShade="BF"/>
          <w:sz w:val="40"/>
          <w:szCs w:val="40"/>
        </w:rPr>
      </w:pPr>
    </w:p>
    <w:p w:rsidR="00CE3DF6" w:rsidRPr="002313C9" w:rsidRDefault="00CE3DF6" w:rsidP="00CE3DF6">
      <w:pPr>
        <w:pStyle w:val="Title"/>
        <w:jc w:val="both"/>
        <w:rPr>
          <w:rFonts w:asciiTheme="minorHAnsi" w:hAnsiTheme="minorHAnsi"/>
          <w:b/>
          <w:color w:val="2F5496" w:themeColor="accent5" w:themeShade="BF"/>
          <w:sz w:val="40"/>
          <w:szCs w:val="40"/>
        </w:rPr>
      </w:pPr>
    </w:p>
    <w:p w:rsidR="00CA0395" w:rsidRPr="002313C9" w:rsidRDefault="00CE3DF6" w:rsidP="00CE3DF6">
      <w:pPr>
        <w:pStyle w:val="Title"/>
        <w:jc w:val="both"/>
        <w:rPr>
          <w:rFonts w:asciiTheme="minorHAnsi" w:hAnsiTheme="minorHAnsi" w:cs="Arial"/>
          <w:b/>
          <w:color w:val="2F5496" w:themeColor="accent5" w:themeShade="BF"/>
          <w:sz w:val="36"/>
          <w:szCs w:val="36"/>
        </w:rPr>
      </w:pPr>
      <w:r w:rsidRPr="002313C9">
        <w:rPr>
          <w:rFonts w:asciiTheme="minorHAnsi" w:hAnsiTheme="minorHAnsi" w:cs="Arial"/>
          <w:b/>
          <w:noProof/>
          <w:color w:val="2F5496" w:themeColor="accent5" w:themeShade="B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184912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120" cy="704850"/>
                    </a:xfrm>
                    <a:prstGeom prst="rect">
                      <a:avLst/>
                    </a:prstGeom>
                  </pic:spPr>
                </pic:pic>
              </a:graphicData>
            </a:graphic>
          </wp:anchor>
        </w:drawing>
      </w:r>
      <w:r w:rsidRPr="002313C9">
        <w:rPr>
          <w:rFonts w:asciiTheme="minorHAnsi" w:hAnsiTheme="minorHAnsi" w:cs="Arial"/>
          <w:b/>
          <w:color w:val="2F5496" w:themeColor="accent5" w:themeShade="BF"/>
          <w:sz w:val="36"/>
          <w:szCs w:val="36"/>
        </w:rPr>
        <w:t>Common Briefing Note</w:t>
      </w:r>
    </w:p>
    <w:p w:rsidR="00CE3DF6" w:rsidRPr="002313C9" w:rsidRDefault="00CE3DF6" w:rsidP="00CE3DF6"/>
    <w:p w:rsidR="00152629" w:rsidRPr="002313C9" w:rsidRDefault="00CE3DF6" w:rsidP="00152629">
      <w:pPr>
        <w:pStyle w:val="Heading1"/>
        <w:rPr>
          <w:rFonts w:asciiTheme="minorHAnsi" w:eastAsia="Times New Roman" w:hAnsiTheme="minorHAnsi" w:cs="Times New Roman"/>
          <w:i/>
          <w:color w:val="auto"/>
          <w:sz w:val="24"/>
          <w:szCs w:val="24"/>
          <w:lang w:val="en-GB"/>
        </w:rPr>
      </w:pPr>
      <w:r w:rsidRPr="002313C9">
        <w:rPr>
          <w:rFonts w:asciiTheme="minorHAnsi" w:hAnsiTheme="minorHAnsi" w:cs="Arial"/>
          <w:b/>
          <w:color w:val="2F5496" w:themeColor="accent5" w:themeShade="BF"/>
          <w:sz w:val="24"/>
        </w:rPr>
        <w:t>Subject:</w:t>
      </w:r>
      <w:r w:rsidR="00152629" w:rsidRPr="002313C9">
        <w:rPr>
          <w:rFonts w:asciiTheme="minorHAnsi" w:hAnsiTheme="minorHAnsi" w:cs="Arial"/>
          <w:b/>
          <w:color w:val="2F5496" w:themeColor="accent5" w:themeShade="BF"/>
          <w:sz w:val="24"/>
        </w:rPr>
        <w:t xml:space="preserve">  </w:t>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152629" w:rsidRPr="002313C9">
        <w:rPr>
          <w:rFonts w:asciiTheme="minorHAnsi" w:hAnsiTheme="minorHAnsi" w:cs="Arial"/>
          <w:b/>
          <w:color w:val="auto"/>
          <w:sz w:val="24"/>
        </w:rPr>
        <w:softHyphen/>
      </w:r>
      <w:r w:rsidR="007A710B" w:rsidRPr="002313C9">
        <w:rPr>
          <w:rFonts w:asciiTheme="minorHAnsi" w:eastAsia="Times New Roman" w:hAnsiTheme="minorHAnsi" w:cs="Arial"/>
          <w:i/>
          <w:color w:val="auto"/>
          <w:sz w:val="24"/>
          <w:szCs w:val="24"/>
          <w:lang w:val="en-GB"/>
        </w:rPr>
        <w:t xml:space="preserve"> </w:t>
      </w:r>
      <w:r w:rsidR="00D15EF3">
        <w:rPr>
          <w:rFonts w:asciiTheme="minorHAnsi" w:eastAsia="Times New Roman" w:hAnsiTheme="minorHAnsi" w:cs="Arial"/>
          <w:i/>
          <w:color w:val="auto"/>
          <w:sz w:val="24"/>
          <w:szCs w:val="24"/>
          <w:lang w:val="en-GB"/>
        </w:rPr>
        <w:t>Joint Consortium for School Health (JCSH) Mandate Renewal</w:t>
      </w:r>
    </w:p>
    <w:p w:rsidR="007A710B" w:rsidRPr="002313C9" w:rsidRDefault="007A710B" w:rsidP="007A710B">
      <w:pPr>
        <w:rPr>
          <w:lang w:val="en-GB"/>
        </w:rPr>
      </w:pPr>
    </w:p>
    <w:p w:rsidR="007A710B" w:rsidRPr="002313C9" w:rsidRDefault="007A710B" w:rsidP="007A710B">
      <w:pPr>
        <w:widowControl w:val="0"/>
        <w:rPr>
          <w:b/>
          <w:sz w:val="24"/>
          <w:szCs w:val="24"/>
          <w:lang w:val="en-GB"/>
        </w:rPr>
      </w:pPr>
      <w:r w:rsidRPr="002313C9">
        <w:rPr>
          <w:rStyle w:val="Heading1Char"/>
          <w:rFonts w:asciiTheme="minorHAnsi" w:hAnsiTheme="minorHAnsi" w:cs="Arial"/>
          <w:b/>
          <w:color w:val="2F5496" w:themeColor="accent5" w:themeShade="BF"/>
          <w:sz w:val="24"/>
        </w:rPr>
        <w:t>Lead Jurisdiction</w:t>
      </w:r>
      <w:r w:rsidRPr="002313C9">
        <w:rPr>
          <w:rStyle w:val="Heading1Char"/>
          <w:rFonts w:asciiTheme="minorHAnsi" w:hAnsiTheme="minorHAnsi"/>
          <w:b/>
          <w:color w:val="2F5496" w:themeColor="accent5" w:themeShade="BF"/>
          <w:sz w:val="22"/>
        </w:rPr>
        <w:t xml:space="preserve">: </w:t>
      </w:r>
      <w:r w:rsidRPr="002313C9">
        <w:rPr>
          <w:sz w:val="24"/>
          <w:szCs w:val="24"/>
          <w:lang w:val="en-GB"/>
        </w:rPr>
        <w:t xml:space="preserve">  </w:t>
      </w:r>
      <w:r w:rsidRPr="002313C9">
        <w:rPr>
          <w:sz w:val="24"/>
          <w:szCs w:val="24"/>
          <w:lang w:val="en-GB"/>
        </w:rPr>
        <w:tab/>
      </w:r>
      <w:r w:rsidRPr="002313C9">
        <w:rPr>
          <w:b/>
          <w:sz w:val="24"/>
          <w:szCs w:val="24"/>
          <w:lang w:val="en-GB"/>
        </w:rPr>
        <w:t>PRINCE EDWARD ISLAND</w:t>
      </w:r>
    </w:p>
    <w:p w:rsidR="00A9555E" w:rsidRPr="002313C9" w:rsidRDefault="00A9555E" w:rsidP="00A9555E">
      <w:pPr>
        <w:rPr>
          <w:rFonts w:cs="Arial"/>
          <w:b/>
          <w:color w:val="2F5496" w:themeColor="accent5" w:themeShade="BF"/>
          <w:sz w:val="24"/>
        </w:rPr>
      </w:pPr>
      <w:r w:rsidRPr="002313C9">
        <w:rPr>
          <w:rFonts w:cs="Arial"/>
          <w:b/>
          <w:color w:val="2F5496" w:themeColor="accent5" w:themeShade="BF"/>
          <w:sz w:val="24"/>
        </w:rPr>
        <w:t xml:space="preserve">Date:  </w:t>
      </w:r>
      <w:r w:rsidRPr="002313C9">
        <w:rPr>
          <w:rFonts w:cs="Arial"/>
          <w:b/>
        </w:rPr>
        <w:t>Ju</w:t>
      </w:r>
      <w:r w:rsidR="008C4371" w:rsidRPr="002313C9">
        <w:rPr>
          <w:rFonts w:cs="Arial"/>
          <w:b/>
        </w:rPr>
        <w:t>ly 15</w:t>
      </w:r>
      <w:r w:rsidRPr="002313C9">
        <w:rPr>
          <w:rFonts w:cs="Arial"/>
          <w:b/>
        </w:rPr>
        <w:t xml:space="preserve"> 2020</w:t>
      </w:r>
    </w:p>
    <w:p w:rsidR="00CE3DF6" w:rsidRPr="002313C9" w:rsidRDefault="00CE3DF6" w:rsidP="00152629">
      <w:pPr>
        <w:pStyle w:val="Heading1"/>
        <w:spacing w:before="0" w:line="240" w:lineRule="auto"/>
        <w:rPr>
          <w:rFonts w:asciiTheme="minorHAnsi" w:hAnsiTheme="minorHAnsi" w:cs="Arial"/>
          <w:b/>
          <w:color w:val="2F5496" w:themeColor="accent5" w:themeShade="BF"/>
          <w:sz w:val="24"/>
        </w:rPr>
      </w:pPr>
      <w:r w:rsidRPr="002313C9">
        <w:rPr>
          <w:rFonts w:asciiTheme="minorHAnsi" w:hAnsiTheme="minorHAnsi" w:cs="Arial"/>
          <w:b/>
          <w:color w:val="2F5496" w:themeColor="accent5" w:themeShade="BF"/>
          <w:sz w:val="24"/>
        </w:rPr>
        <w:t>_________________________</w:t>
      </w:r>
      <w:r w:rsidR="00152629" w:rsidRPr="002313C9">
        <w:rPr>
          <w:rFonts w:asciiTheme="minorHAnsi" w:hAnsiTheme="minorHAnsi" w:cs="Arial"/>
          <w:b/>
          <w:color w:val="2F5496" w:themeColor="accent5" w:themeShade="BF"/>
          <w:sz w:val="24"/>
        </w:rPr>
        <w:t>_______________________________________</w:t>
      </w:r>
      <w:r w:rsidRPr="002313C9">
        <w:rPr>
          <w:rFonts w:asciiTheme="minorHAnsi" w:hAnsiTheme="minorHAnsi" w:cs="Arial"/>
          <w:b/>
          <w:color w:val="2F5496" w:themeColor="accent5" w:themeShade="BF"/>
          <w:sz w:val="24"/>
        </w:rPr>
        <w:t>_</w:t>
      </w:r>
    </w:p>
    <w:p w:rsidR="00CE3DF6" w:rsidRPr="002313C9" w:rsidRDefault="00CE3DF6" w:rsidP="00CE3DF6"/>
    <w:p w:rsidR="00CE3DF6" w:rsidRPr="002313C9" w:rsidRDefault="00CE3DF6" w:rsidP="00CE3DF6">
      <w:pPr>
        <w:pStyle w:val="Heading1"/>
        <w:rPr>
          <w:rFonts w:asciiTheme="minorHAnsi" w:hAnsiTheme="minorHAnsi"/>
          <w:b/>
          <w:color w:val="2F5496" w:themeColor="accent5" w:themeShade="BF"/>
          <w:sz w:val="28"/>
        </w:rPr>
      </w:pPr>
      <w:r w:rsidRPr="002313C9">
        <w:rPr>
          <w:rFonts w:asciiTheme="minorHAnsi" w:hAnsiTheme="minorHAnsi"/>
          <w:b/>
          <w:color w:val="2F5496" w:themeColor="accent5" w:themeShade="BF"/>
          <w:sz w:val="28"/>
        </w:rPr>
        <w:t>Decision(s) / Direction(s) Requested:</w:t>
      </w:r>
    </w:p>
    <w:p w:rsidR="00CE3DF6" w:rsidRPr="002313C9" w:rsidRDefault="00CE3DF6" w:rsidP="00CE3DF6"/>
    <w:p w:rsidR="00CE3DF6" w:rsidRPr="002313C9" w:rsidRDefault="00CE3DF6" w:rsidP="00CE3DF6">
      <w:pPr>
        <w:rPr>
          <w:rFonts w:cs="Arial"/>
          <w:sz w:val="20"/>
        </w:rPr>
      </w:pPr>
      <w:r w:rsidRPr="002313C9">
        <w:rPr>
          <w:rFonts w:cs="Arial"/>
          <w:sz w:val="20"/>
        </w:rPr>
        <w:tab/>
      </w:r>
      <w:r w:rsidR="004958A6" w:rsidRPr="002313C9">
        <w:rPr>
          <w:rFonts w:cs="Arial"/>
          <w:b/>
        </w:rPr>
        <w:t xml:space="preserve">Decision </w:t>
      </w:r>
      <w:sdt>
        <w:sdtPr>
          <w:rPr>
            <w:rFonts w:cs="Arial"/>
            <w:b/>
          </w:rPr>
          <w:id w:val="1840581990"/>
          <w14:checkbox>
            <w14:checked w14:val="0"/>
            <w14:checkedState w14:val="2612" w14:font="MS Gothic"/>
            <w14:uncheckedState w14:val="2610" w14:font="MS Gothic"/>
          </w14:checkbox>
        </w:sdtPr>
        <w:sdtEndPr/>
        <w:sdtContent>
          <w:r w:rsidR="007A710B" w:rsidRPr="002313C9">
            <w:rPr>
              <w:rFonts w:ascii="Segoe UI Symbol" w:eastAsia="MS Gothic" w:hAnsi="Segoe UI Symbol" w:cs="Segoe UI Symbol"/>
              <w:b/>
            </w:rPr>
            <w:t>☐</w:t>
          </w:r>
        </w:sdtContent>
      </w:sdt>
      <w:r w:rsidR="006D3C8E" w:rsidRPr="002313C9">
        <w:rPr>
          <w:rFonts w:cs="Arial"/>
          <w:b/>
        </w:rPr>
        <w:t xml:space="preserve">   </w:t>
      </w:r>
      <w:r w:rsidR="004958A6" w:rsidRPr="002313C9">
        <w:rPr>
          <w:rFonts w:cs="Arial"/>
          <w:b/>
        </w:rPr>
        <w:t xml:space="preserve">Discussion </w:t>
      </w:r>
      <w:sdt>
        <w:sdtPr>
          <w:rPr>
            <w:rFonts w:cs="Arial"/>
            <w:b/>
          </w:rPr>
          <w:id w:val="-99726946"/>
          <w14:checkbox>
            <w14:checked w14:val="0"/>
            <w14:checkedState w14:val="2612" w14:font="MS Gothic"/>
            <w14:uncheckedState w14:val="2610" w14:font="MS Gothic"/>
          </w14:checkbox>
        </w:sdtPr>
        <w:sdtEndPr/>
        <w:sdtContent>
          <w:r w:rsidR="006D3C8E" w:rsidRPr="002313C9">
            <w:rPr>
              <w:rFonts w:ascii="Segoe UI Symbol" w:eastAsia="MS Gothic" w:hAnsi="Segoe UI Symbol" w:cs="Segoe UI Symbol"/>
              <w:b/>
            </w:rPr>
            <w:t>☐</w:t>
          </w:r>
        </w:sdtContent>
      </w:sdt>
      <w:r w:rsidRPr="002313C9">
        <w:rPr>
          <w:rFonts w:cs="Arial"/>
          <w:b/>
        </w:rPr>
        <w:t xml:space="preserve">   Information</w:t>
      </w:r>
      <w:r w:rsidR="006D3C8E" w:rsidRPr="002313C9">
        <w:rPr>
          <w:rFonts w:cs="Arial"/>
          <w:b/>
        </w:rPr>
        <w:t xml:space="preserve"> </w:t>
      </w:r>
      <w:sdt>
        <w:sdtPr>
          <w:rPr>
            <w:rFonts w:cs="Arial"/>
            <w:b/>
          </w:rPr>
          <w:id w:val="2089191333"/>
          <w14:checkbox>
            <w14:checked w14:val="1"/>
            <w14:checkedState w14:val="2612" w14:font="MS Gothic"/>
            <w14:uncheckedState w14:val="2610" w14:font="MS Gothic"/>
          </w14:checkbox>
        </w:sdtPr>
        <w:sdtEndPr/>
        <w:sdtContent>
          <w:r w:rsidR="007A710B" w:rsidRPr="002313C9">
            <w:rPr>
              <w:rFonts w:ascii="Segoe UI Symbol" w:eastAsia="MS Gothic" w:hAnsi="Segoe UI Symbol" w:cs="Segoe UI Symbol"/>
              <w:b/>
            </w:rPr>
            <w:t>☒</w:t>
          </w:r>
        </w:sdtContent>
      </w:sdt>
    </w:p>
    <w:p w:rsidR="006D3C8E" w:rsidRPr="002313C9" w:rsidRDefault="006D3C8E" w:rsidP="00152629">
      <w:pPr>
        <w:pStyle w:val="Heading1"/>
        <w:spacing w:after="240"/>
        <w:rPr>
          <w:rFonts w:asciiTheme="minorHAnsi" w:hAnsiTheme="minorHAnsi" w:cs="Arial"/>
          <w:b/>
          <w:color w:val="1F3864" w:themeColor="accent5" w:themeShade="80"/>
        </w:rPr>
      </w:pPr>
      <w:r w:rsidRPr="002313C9">
        <w:rPr>
          <w:rFonts w:asciiTheme="minorHAnsi" w:hAnsiTheme="minorHAnsi" w:cs="Arial"/>
          <w:b/>
          <w:color w:val="1F3864" w:themeColor="accent5" w:themeShade="80"/>
        </w:rPr>
        <w:t>__________________________</w:t>
      </w:r>
      <w:r w:rsidR="00152629" w:rsidRPr="002313C9">
        <w:rPr>
          <w:rFonts w:asciiTheme="minorHAnsi" w:hAnsiTheme="minorHAnsi" w:cs="Arial"/>
          <w:b/>
          <w:color w:val="1F3864" w:themeColor="accent5" w:themeShade="80"/>
        </w:rPr>
        <w:t>__________________________</w:t>
      </w:r>
    </w:p>
    <w:p w:rsidR="006D3C8E" w:rsidRPr="002313C9" w:rsidRDefault="008C5ABC" w:rsidP="004958A6">
      <w:pPr>
        <w:rPr>
          <w:b/>
          <w:color w:val="2F5496" w:themeColor="accent5" w:themeShade="BF"/>
          <w:sz w:val="28"/>
        </w:rPr>
      </w:pPr>
      <w:r w:rsidRPr="002313C9">
        <w:rPr>
          <w:b/>
          <w:color w:val="2F5496" w:themeColor="accent5" w:themeShade="BF"/>
          <w:sz w:val="28"/>
        </w:rPr>
        <w:t>1</w:t>
      </w:r>
      <w:r w:rsidR="00C26B0C" w:rsidRPr="002313C9">
        <w:rPr>
          <w:b/>
          <w:color w:val="2F5496" w:themeColor="accent5" w:themeShade="BF"/>
          <w:sz w:val="28"/>
        </w:rPr>
        <w:t xml:space="preserve">. </w:t>
      </w:r>
      <w:r w:rsidR="006D3C8E" w:rsidRPr="002313C9">
        <w:rPr>
          <w:b/>
          <w:color w:val="2F5496" w:themeColor="accent5" w:themeShade="BF"/>
          <w:sz w:val="28"/>
        </w:rPr>
        <w:t xml:space="preserve">Background: </w:t>
      </w:r>
    </w:p>
    <w:p w:rsidR="007A710B" w:rsidRPr="002313C9" w:rsidRDefault="007A710B" w:rsidP="007A710B">
      <w:pPr>
        <w:pStyle w:val="ListParagraph"/>
        <w:numPr>
          <w:ilvl w:val="0"/>
          <w:numId w:val="5"/>
        </w:numPr>
        <w:rPr>
          <w:rFonts w:asciiTheme="minorHAnsi" w:hAnsiTheme="minorHAnsi" w:cs="Arial"/>
          <w:sz w:val="22"/>
        </w:rPr>
      </w:pPr>
      <w:r w:rsidRPr="002313C9">
        <w:rPr>
          <w:rFonts w:asciiTheme="minorHAnsi" w:hAnsiTheme="minorHAnsi" w:cs="Arial"/>
          <w:sz w:val="22"/>
        </w:rPr>
        <w:t xml:space="preserve">The </w:t>
      </w:r>
      <w:r w:rsidRPr="002313C9">
        <w:rPr>
          <w:rFonts w:asciiTheme="minorHAnsi" w:hAnsiTheme="minorHAnsi" w:cs="Arial"/>
          <w:bCs/>
          <w:sz w:val="22"/>
        </w:rPr>
        <w:t>Pan-Canadian Joint Consortium for School Health (JC</w:t>
      </w:r>
      <w:r w:rsidRPr="002313C9">
        <w:rPr>
          <w:rFonts w:asciiTheme="minorHAnsi" w:hAnsiTheme="minorHAnsi" w:cs="Arial"/>
          <w:sz w:val="22"/>
        </w:rPr>
        <w:t xml:space="preserve">SH) was established in 2005 by the </w:t>
      </w:r>
      <w:r w:rsidRPr="002313C9">
        <w:rPr>
          <w:rFonts w:asciiTheme="minorHAnsi" w:hAnsiTheme="minorHAnsi" w:cs="Arial"/>
          <w:bCs/>
          <w:sz w:val="22"/>
        </w:rPr>
        <w:t xml:space="preserve">Council of Ministers of Education, Canada and the Conference of Ministers of Health </w:t>
      </w:r>
      <w:r w:rsidRPr="002313C9">
        <w:rPr>
          <w:rFonts w:asciiTheme="minorHAnsi" w:hAnsiTheme="minorHAnsi" w:cs="Arial"/>
          <w:sz w:val="22"/>
        </w:rPr>
        <w:t xml:space="preserve">to facilitate a comprehensive and coordinated approach to health promotion in the school setting.  Its purpose is to facilitate the </w:t>
      </w:r>
      <w:r w:rsidRPr="002313C9">
        <w:rPr>
          <w:rFonts w:asciiTheme="minorHAnsi" w:hAnsiTheme="minorHAnsi" w:cs="Arial"/>
          <w:bCs/>
          <w:sz w:val="22"/>
        </w:rPr>
        <w:t>collaboration</w:t>
      </w:r>
      <w:r w:rsidRPr="002313C9">
        <w:rPr>
          <w:rFonts w:asciiTheme="minorHAnsi" w:hAnsiTheme="minorHAnsi" w:cs="Arial"/>
          <w:sz w:val="22"/>
        </w:rPr>
        <w:t xml:space="preserve"> of the </w:t>
      </w:r>
      <w:r w:rsidRPr="002313C9">
        <w:rPr>
          <w:rFonts w:asciiTheme="minorHAnsi" w:hAnsiTheme="minorHAnsi" w:cs="Arial"/>
          <w:bCs/>
          <w:sz w:val="22"/>
        </w:rPr>
        <w:t xml:space="preserve">health and education </w:t>
      </w:r>
      <w:r w:rsidR="009B0F67" w:rsidRPr="002313C9">
        <w:rPr>
          <w:rFonts w:asciiTheme="minorHAnsi" w:hAnsiTheme="minorHAnsi" w:cs="Arial"/>
          <w:bCs/>
          <w:sz w:val="22"/>
        </w:rPr>
        <w:t>ministries</w:t>
      </w:r>
      <w:r w:rsidRPr="002313C9">
        <w:rPr>
          <w:rFonts w:asciiTheme="minorHAnsi" w:hAnsiTheme="minorHAnsi" w:cs="Arial"/>
          <w:sz w:val="22"/>
        </w:rPr>
        <w:t xml:space="preserve"> to better accomplish mutual goals and support shared mandates for the promotion of </w:t>
      </w:r>
      <w:r w:rsidR="009B0F67" w:rsidRPr="002313C9">
        <w:rPr>
          <w:rFonts w:asciiTheme="minorHAnsi" w:hAnsiTheme="minorHAnsi" w:cs="Arial"/>
          <w:sz w:val="22"/>
        </w:rPr>
        <w:t xml:space="preserve">health, </w:t>
      </w:r>
      <w:r w:rsidRPr="002313C9">
        <w:rPr>
          <w:rFonts w:asciiTheme="minorHAnsi" w:hAnsiTheme="minorHAnsi" w:cs="Arial"/>
          <w:sz w:val="22"/>
        </w:rPr>
        <w:t>wellness</w:t>
      </w:r>
      <w:r w:rsidR="009B0F67" w:rsidRPr="002313C9">
        <w:rPr>
          <w:rFonts w:asciiTheme="minorHAnsi" w:hAnsiTheme="minorHAnsi" w:cs="Arial"/>
          <w:sz w:val="22"/>
        </w:rPr>
        <w:t>,</w:t>
      </w:r>
      <w:r w:rsidRPr="002313C9">
        <w:rPr>
          <w:rFonts w:asciiTheme="minorHAnsi" w:hAnsiTheme="minorHAnsi" w:cs="Arial"/>
          <w:sz w:val="22"/>
        </w:rPr>
        <w:t xml:space="preserve"> and achievement in children and youth in Canadian schools. </w:t>
      </w:r>
    </w:p>
    <w:p w:rsidR="009B0F67" w:rsidRPr="002313C9" w:rsidRDefault="009B0F67" w:rsidP="009B0F67">
      <w:pPr>
        <w:pStyle w:val="BriefingNotes"/>
        <w:ind w:left="720"/>
        <w:rPr>
          <w:rFonts w:asciiTheme="minorHAnsi" w:hAnsiTheme="minorHAnsi"/>
          <w:szCs w:val="24"/>
        </w:rPr>
      </w:pPr>
    </w:p>
    <w:p w:rsidR="009B0F67" w:rsidRPr="002313C9" w:rsidRDefault="009B0F67" w:rsidP="009B0F67">
      <w:pPr>
        <w:pStyle w:val="BriefingNotes"/>
        <w:numPr>
          <w:ilvl w:val="0"/>
          <w:numId w:val="5"/>
        </w:numPr>
        <w:rPr>
          <w:rFonts w:asciiTheme="minorHAnsi" w:hAnsiTheme="minorHAnsi" w:cs="Arial"/>
          <w:szCs w:val="24"/>
        </w:rPr>
      </w:pPr>
      <w:r w:rsidRPr="002313C9">
        <w:rPr>
          <w:rFonts w:asciiTheme="minorHAnsi" w:hAnsiTheme="minorHAnsi" w:cs="Arial"/>
          <w:sz w:val="22"/>
          <w:szCs w:val="24"/>
        </w:rPr>
        <w:t>JCSH comprises the Ministries of Education and the Ministries of Health</w:t>
      </w:r>
      <w:r w:rsidR="008C5ABC" w:rsidRPr="002313C9">
        <w:rPr>
          <w:rFonts w:asciiTheme="minorHAnsi" w:hAnsiTheme="minorHAnsi" w:cs="Arial"/>
          <w:sz w:val="22"/>
          <w:szCs w:val="24"/>
        </w:rPr>
        <w:t xml:space="preserve"> and</w:t>
      </w:r>
      <w:r w:rsidRPr="002313C9">
        <w:rPr>
          <w:rFonts w:asciiTheme="minorHAnsi" w:hAnsiTheme="minorHAnsi" w:cs="Arial"/>
          <w:sz w:val="22"/>
          <w:szCs w:val="24"/>
        </w:rPr>
        <w:t>/</w:t>
      </w:r>
      <w:r w:rsidR="008C5ABC" w:rsidRPr="002313C9">
        <w:rPr>
          <w:rFonts w:asciiTheme="minorHAnsi" w:hAnsiTheme="minorHAnsi" w:cs="Arial"/>
          <w:sz w:val="22"/>
          <w:szCs w:val="24"/>
        </w:rPr>
        <w:t xml:space="preserve">or </w:t>
      </w:r>
      <w:r w:rsidRPr="002313C9">
        <w:rPr>
          <w:rFonts w:asciiTheme="minorHAnsi" w:hAnsiTheme="minorHAnsi" w:cs="Arial"/>
          <w:sz w:val="22"/>
          <w:szCs w:val="24"/>
        </w:rPr>
        <w:t xml:space="preserve">Wellness from all provinces and territories with the exception of Quebec. Although Quebec shares the concerns and objectives of the JCSH, and will continue to contribute by sharing information and leveraging best practices, Quebec intends to remain solely responsible for </w:t>
      </w:r>
      <w:r w:rsidRPr="002313C9">
        <w:rPr>
          <w:rFonts w:asciiTheme="minorHAnsi" w:hAnsiTheme="minorHAnsi" w:cs="Arial"/>
          <w:noProof w:val="0"/>
          <w:sz w:val="22"/>
          <w:szCs w:val="24"/>
        </w:rPr>
        <w:t>responding to school health needs within its territory.</w:t>
      </w:r>
      <w:r w:rsidRPr="002313C9">
        <w:rPr>
          <w:rFonts w:asciiTheme="minorHAnsi" w:hAnsiTheme="minorHAnsi" w:cs="Arial"/>
          <w:noProof w:val="0"/>
          <w:szCs w:val="24"/>
        </w:rPr>
        <w:t xml:space="preserve"> </w:t>
      </w:r>
    </w:p>
    <w:p w:rsidR="009B0F67" w:rsidRPr="002313C9" w:rsidRDefault="009B0F67" w:rsidP="009B0F67">
      <w:pPr>
        <w:pStyle w:val="BriefingNotes"/>
        <w:ind w:left="357"/>
        <w:rPr>
          <w:rFonts w:asciiTheme="minorHAnsi" w:hAnsiTheme="minorHAnsi"/>
          <w:szCs w:val="24"/>
        </w:rPr>
      </w:pPr>
    </w:p>
    <w:p w:rsidR="009B0F67" w:rsidRPr="002313C9" w:rsidRDefault="008C5ABC" w:rsidP="009B0F67">
      <w:pPr>
        <w:pStyle w:val="ListParagraph"/>
        <w:numPr>
          <w:ilvl w:val="0"/>
          <w:numId w:val="5"/>
        </w:numPr>
        <w:rPr>
          <w:rFonts w:asciiTheme="minorHAnsi" w:hAnsiTheme="minorHAnsi" w:cs="Arial"/>
          <w:sz w:val="22"/>
        </w:rPr>
      </w:pPr>
      <w:r w:rsidRPr="002313C9">
        <w:rPr>
          <w:rFonts w:asciiTheme="minorHAnsi" w:hAnsiTheme="minorHAnsi" w:cs="Arial"/>
          <w:sz w:val="22"/>
          <w:szCs w:val="24"/>
          <w:lang w:val="en-CA" w:eastAsia="en-CA"/>
        </w:rPr>
        <w:t>T</w:t>
      </w:r>
      <w:r w:rsidR="009B0F67" w:rsidRPr="002313C9">
        <w:rPr>
          <w:rFonts w:asciiTheme="minorHAnsi" w:hAnsiTheme="minorHAnsi" w:cs="Arial"/>
          <w:sz w:val="22"/>
          <w:szCs w:val="24"/>
          <w:lang w:val="en-CA" w:eastAsia="en-CA"/>
        </w:rPr>
        <w:t xml:space="preserve">he federal government also supports the work of the </w:t>
      </w:r>
      <w:r w:rsidRPr="002313C9">
        <w:rPr>
          <w:rFonts w:asciiTheme="minorHAnsi" w:hAnsiTheme="minorHAnsi" w:cs="Arial"/>
          <w:sz w:val="22"/>
          <w:szCs w:val="24"/>
          <w:lang w:val="en-CA" w:eastAsia="en-CA"/>
        </w:rPr>
        <w:t xml:space="preserve">JCSH, with the Public Health </w:t>
      </w:r>
      <w:r w:rsidR="009B0F67" w:rsidRPr="002313C9">
        <w:rPr>
          <w:rFonts w:asciiTheme="minorHAnsi" w:hAnsiTheme="minorHAnsi" w:cs="Arial"/>
          <w:sz w:val="22"/>
          <w:szCs w:val="24"/>
          <w:lang w:val="en-CA" w:eastAsia="en-CA"/>
        </w:rPr>
        <w:t>Agency of Canada (PHAC) serving in a funding and advisory capacity.</w:t>
      </w:r>
    </w:p>
    <w:p w:rsidR="007A710B" w:rsidRPr="002313C9" w:rsidRDefault="007A710B" w:rsidP="007A710B">
      <w:pPr>
        <w:pStyle w:val="ListParagraph"/>
        <w:rPr>
          <w:rFonts w:asciiTheme="minorHAnsi" w:hAnsiTheme="minorHAnsi" w:cs="Arial"/>
        </w:rPr>
      </w:pPr>
    </w:p>
    <w:p w:rsidR="009B0F67" w:rsidRPr="002313C9" w:rsidRDefault="007A710B" w:rsidP="009B0F67">
      <w:pPr>
        <w:pStyle w:val="ListParagraph"/>
        <w:numPr>
          <w:ilvl w:val="0"/>
          <w:numId w:val="5"/>
        </w:numPr>
        <w:rPr>
          <w:rFonts w:asciiTheme="minorHAnsi" w:hAnsiTheme="minorHAnsi" w:cs="Arial"/>
          <w:sz w:val="22"/>
        </w:rPr>
      </w:pPr>
      <w:r w:rsidRPr="002313C9">
        <w:rPr>
          <w:rFonts w:asciiTheme="minorHAnsi" w:hAnsiTheme="minorHAnsi" w:cs="Arial"/>
          <w:sz w:val="22"/>
        </w:rPr>
        <w:t xml:space="preserve">BC was the lead jurisdiction and hosted the JCSH Secretariat for the first five years (2005-2010). JCSH </w:t>
      </w:r>
      <w:r w:rsidR="009B0F67" w:rsidRPr="002313C9">
        <w:rPr>
          <w:rFonts w:asciiTheme="minorHAnsi" w:hAnsiTheme="minorHAnsi" w:cs="Arial"/>
          <w:sz w:val="22"/>
        </w:rPr>
        <w:t>has received consecutive</w:t>
      </w:r>
      <w:r w:rsidRPr="002313C9">
        <w:rPr>
          <w:rFonts w:asciiTheme="minorHAnsi" w:hAnsiTheme="minorHAnsi" w:cs="Arial"/>
          <w:sz w:val="22"/>
        </w:rPr>
        <w:t xml:space="preserve"> five-year mandate</w:t>
      </w:r>
      <w:r w:rsidR="009B0F67" w:rsidRPr="002313C9">
        <w:rPr>
          <w:rFonts w:asciiTheme="minorHAnsi" w:hAnsiTheme="minorHAnsi" w:cs="Arial"/>
          <w:sz w:val="22"/>
        </w:rPr>
        <w:t>s</w:t>
      </w:r>
      <w:r w:rsidRPr="002313C9">
        <w:rPr>
          <w:rFonts w:asciiTheme="minorHAnsi" w:hAnsiTheme="minorHAnsi" w:cs="Arial"/>
          <w:sz w:val="22"/>
        </w:rPr>
        <w:t xml:space="preserve"> from the FPT Deputy Ministers of Health</w:t>
      </w:r>
      <w:r w:rsidR="008C5ABC" w:rsidRPr="002313C9">
        <w:rPr>
          <w:rFonts w:asciiTheme="minorHAnsi" w:hAnsiTheme="minorHAnsi" w:cs="Arial"/>
          <w:sz w:val="22"/>
        </w:rPr>
        <w:t xml:space="preserve"> </w:t>
      </w:r>
      <w:r w:rsidR="008C5ABC" w:rsidRPr="002313C9">
        <w:rPr>
          <w:rFonts w:asciiTheme="minorHAnsi" w:hAnsiTheme="minorHAnsi" w:cs="Arial"/>
          <w:sz w:val="22"/>
        </w:rPr>
        <w:lastRenderedPageBreak/>
        <w:t>and</w:t>
      </w:r>
      <w:r w:rsidR="009B0F67" w:rsidRPr="002313C9">
        <w:rPr>
          <w:rFonts w:asciiTheme="minorHAnsi" w:hAnsiTheme="minorHAnsi" w:cs="Arial"/>
          <w:sz w:val="22"/>
        </w:rPr>
        <w:t>/</w:t>
      </w:r>
      <w:r w:rsidR="008C5ABC" w:rsidRPr="002313C9">
        <w:rPr>
          <w:rFonts w:asciiTheme="minorHAnsi" w:hAnsiTheme="minorHAnsi" w:cs="Arial"/>
          <w:sz w:val="22"/>
        </w:rPr>
        <w:t xml:space="preserve">or </w:t>
      </w:r>
      <w:r w:rsidR="009B0F67" w:rsidRPr="002313C9">
        <w:rPr>
          <w:rFonts w:asciiTheme="minorHAnsi" w:hAnsiTheme="minorHAnsi" w:cs="Arial"/>
          <w:sz w:val="22"/>
        </w:rPr>
        <w:t>Wellness</w:t>
      </w:r>
      <w:r w:rsidRPr="002313C9">
        <w:rPr>
          <w:rFonts w:asciiTheme="minorHAnsi" w:hAnsiTheme="minorHAnsi" w:cs="Arial"/>
          <w:sz w:val="22"/>
        </w:rPr>
        <w:t xml:space="preserve"> and from the PT Deputy Ministers of Education </w:t>
      </w:r>
      <w:r w:rsidR="009B0F67" w:rsidRPr="002313C9">
        <w:rPr>
          <w:rFonts w:asciiTheme="minorHAnsi" w:hAnsiTheme="minorHAnsi" w:cs="Arial"/>
          <w:sz w:val="22"/>
        </w:rPr>
        <w:t>(2010-2015; 2015-2020)</w:t>
      </w:r>
      <w:r w:rsidRPr="002313C9">
        <w:rPr>
          <w:rFonts w:asciiTheme="minorHAnsi" w:hAnsiTheme="minorHAnsi" w:cs="Arial"/>
          <w:sz w:val="22"/>
        </w:rPr>
        <w:t xml:space="preserve">. Prince Edward Island </w:t>
      </w:r>
      <w:r w:rsidR="009B0F67" w:rsidRPr="002313C9">
        <w:rPr>
          <w:rFonts w:asciiTheme="minorHAnsi" w:hAnsiTheme="minorHAnsi" w:cs="Arial"/>
          <w:sz w:val="22"/>
        </w:rPr>
        <w:t>has been</w:t>
      </w:r>
      <w:r w:rsidRPr="002313C9">
        <w:rPr>
          <w:rFonts w:asciiTheme="minorHAnsi" w:hAnsiTheme="minorHAnsi" w:cs="Arial"/>
          <w:sz w:val="22"/>
        </w:rPr>
        <w:t xml:space="preserve"> lead jurisdiction and Secretariat host </w:t>
      </w:r>
      <w:r w:rsidR="009B0F67" w:rsidRPr="002313C9">
        <w:rPr>
          <w:rFonts w:asciiTheme="minorHAnsi" w:hAnsiTheme="minorHAnsi" w:cs="Arial"/>
          <w:sz w:val="22"/>
        </w:rPr>
        <w:t>since 2010</w:t>
      </w:r>
      <w:r w:rsidRPr="002313C9">
        <w:rPr>
          <w:rFonts w:asciiTheme="minorHAnsi" w:hAnsiTheme="minorHAnsi" w:cs="Arial"/>
          <w:sz w:val="22"/>
        </w:rPr>
        <w:t xml:space="preserve">. </w:t>
      </w:r>
    </w:p>
    <w:p w:rsidR="004958A6" w:rsidRPr="002313C9" w:rsidRDefault="004958A6" w:rsidP="00915F94">
      <w:pPr>
        <w:pStyle w:val="ListParagraph"/>
        <w:spacing w:after="200" w:line="276" w:lineRule="auto"/>
        <w:contextualSpacing w:val="0"/>
        <w:rPr>
          <w:rFonts w:asciiTheme="minorHAnsi" w:hAnsiTheme="minorHAnsi" w:cs="Arial"/>
          <w:sz w:val="28"/>
        </w:rPr>
      </w:pPr>
    </w:p>
    <w:p w:rsidR="00CF394D" w:rsidRPr="002313C9" w:rsidRDefault="008C5ABC" w:rsidP="004958A6">
      <w:pPr>
        <w:rPr>
          <w:rFonts w:cs="Arial"/>
          <w:b/>
          <w:color w:val="2F5496" w:themeColor="accent5" w:themeShade="BF"/>
          <w:sz w:val="28"/>
        </w:rPr>
      </w:pPr>
      <w:r w:rsidRPr="002313C9">
        <w:rPr>
          <w:rFonts w:cs="Arial"/>
          <w:b/>
          <w:color w:val="2F5496" w:themeColor="accent5" w:themeShade="BF"/>
          <w:sz w:val="28"/>
        </w:rPr>
        <w:t>2</w:t>
      </w:r>
      <w:r w:rsidR="00CF394D" w:rsidRPr="002313C9">
        <w:rPr>
          <w:rFonts w:cs="Arial"/>
          <w:b/>
          <w:color w:val="2F5496" w:themeColor="accent5" w:themeShade="BF"/>
          <w:sz w:val="28"/>
        </w:rPr>
        <w:t xml:space="preserve">. </w:t>
      </w:r>
      <w:r w:rsidR="009B0F67" w:rsidRPr="002313C9">
        <w:rPr>
          <w:rFonts w:cs="Arial"/>
          <w:b/>
          <w:color w:val="2F5496" w:themeColor="accent5" w:themeShade="BF"/>
          <w:sz w:val="28"/>
        </w:rPr>
        <w:t>Current Situation</w:t>
      </w:r>
      <w:r w:rsidR="006C3912" w:rsidRPr="002313C9">
        <w:rPr>
          <w:rFonts w:cs="Arial"/>
          <w:b/>
          <w:color w:val="2F5496" w:themeColor="accent5" w:themeShade="BF"/>
          <w:sz w:val="28"/>
        </w:rPr>
        <w:t>:</w:t>
      </w:r>
    </w:p>
    <w:p w:rsidR="005B1E53" w:rsidRPr="00AB67FD" w:rsidRDefault="00D15EF3" w:rsidP="009B0F67">
      <w:pPr>
        <w:pStyle w:val="ListParagraph"/>
        <w:numPr>
          <w:ilvl w:val="0"/>
          <w:numId w:val="5"/>
        </w:numPr>
        <w:rPr>
          <w:rFonts w:asciiTheme="minorHAnsi" w:hAnsiTheme="minorHAnsi" w:cs="Arial"/>
          <w:sz w:val="24"/>
        </w:rPr>
      </w:pPr>
      <w:r>
        <w:rPr>
          <w:rFonts w:ascii="Segoe UI" w:hAnsi="Segoe UI" w:cs="Segoe UI"/>
        </w:rPr>
        <w:t>A</w:t>
      </w:r>
      <w:r>
        <w:rPr>
          <w:rFonts w:ascii="Segoe UI" w:hAnsi="Segoe UI" w:cs="Segoe UI"/>
        </w:rPr>
        <w:t>pproval</w:t>
      </w:r>
      <w:r>
        <w:rPr>
          <w:rFonts w:ascii="Segoe UI" w:hAnsi="Segoe UI" w:cs="Segoe UI"/>
        </w:rPr>
        <w:t xml:space="preserve"> for the 2020-2025 mandate of JCSH</w:t>
      </w:r>
      <w:r>
        <w:rPr>
          <w:rFonts w:ascii="Segoe UI" w:hAnsi="Segoe UI" w:cs="Segoe UI"/>
        </w:rPr>
        <w:t xml:space="preserve"> was obtained through C</w:t>
      </w:r>
      <w:r>
        <w:rPr>
          <w:rFonts w:ascii="Segoe UI" w:hAnsi="Segoe UI" w:cs="Segoe UI"/>
        </w:rPr>
        <w:t>ouncil of Ministers of Education, Canada (C</w:t>
      </w:r>
      <w:r>
        <w:rPr>
          <w:rFonts w:ascii="Segoe UI" w:hAnsi="Segoe UI" w:cs="Segoe UI"/>
        </w:rPr>
        <w:t>MEC</w:t>
      </w:r>
      <w:r>
        <w:rPr>
          <w:rFonts w:ascii="Segoe UI" w:hAnsi="Segoe UI" w:cs="Segoe UI"/>
        </w:rPr>
        <w:t>) memo from e</w:t>
      </w:r>
      <w:r>
        <w:rPr>
          <w:rFonts w:ascii="Segoe UI" w:hAnsi="Segoe UI" w:cs="Segoe UI"/>
        </w:rPr>
        <w:t xml:space="preserve">ducation </w:t>
      </w:r>
      <w:r>
        <w:rPr>
          <w:rFonts w:ascii="Segoe UI" w:hAnsi="Segoe UI" w:cs="Segoe UI"/>
        </w:rPr>
        <w:t>deputy ministers,</w:t>
      </w:r>
      <w:r>
        <w:rPr>
          <w:rFonts w:ascii="Segoe UI" w:hAnsi="Segoe UI" w:cs="Segoe UI"/>
        </w:rPr>
        <w:t xml:space="preserve"> and by email from Health</w:t>
      </w:r>
      <w:r>
        <w:rPr>
          <w:rFonts w:ascii="Segoe UI" w:hAnsi="Segoe UI" w:cs="Segoe UI"/>
        </w:rPr>
        <w:t xml:space="preserve"> and/or Wellness</w:t>
      </w:r>
      <w:r>
        <w:rPr>
          <w:rFonts w:ascii="Segoe UI" w:hAnsi="Segoe UI" w:cs="Segoe UI"/>
        </w:rPr>
        <w:t xml:space="preserve"> deput</w:t>
      </w:r>
      <w:r>
        <w:rPr>
          <w:rFonts w:ascii="Segoe UI" w:hAnsi="Segoe UI" w:cs="Segoe UI"/>
        </w:rPr>
        <w:t>y ministers</w:t>
      </w:r>
      <w:bookmarkStart w:id="0" w:name="_GoBack"/>
      <w:bookmarkEnd w:id="0"/>
      <w:r>
        <w:rPr>
          <w:rFonts w:ascii="Segoe UI" w:hAnsi="Segoe UI" w:cs="Segoe UI"/>
        </w:rPr>
        <w:t xml:space="preserve"> following a conference call</w:t>
      </w:r>
      <w:r>
        <w:rPr>
          <w:rFonts w:ascii="Segoe UI" w:hAnsi="Segoe UI" w:cs="Segoe UI"/>
        </w:rPr>
        <w:t xml:space="preserve"> of Deputy Ministers of Health</w:t>
      </w:r>
      <w:r>
        <w:rPr>
          <w:rFonts w:ascii="Segoe UI" w:hAnsi="Segoe UI" w:cs="Segoe UI"/>
        </w:rPr>
        <w:t>.</w:t>
      </w:r>
      <w:r w:rsidR="009B0F67" w:rsidRPr="002313C9">
        <w:rPr>
          <w:rFonts w:asciiTheme="minorHAnsi" w:eastAsia="Calibri" w:hAnsiTheme="minorHAnsi" w:cs="Arial"/>
          <w:sz w:val="22"/>
        </w:rPr>
        <w:t xml:space="preserve"> The new Agreement will run from April 1, 2020 to March 31, 2025. </w:t>
      </w:r>
    </w:p>
    <w:p w:rsidR="00AB67FD" w:rsidRPr="00AB67FD" w:rsidRDefault="00AB67FD" w:rsidP="00AB67FD">
      <w:pPr>
        <w:pStyle w:val="ListParagraph"/>
        <w:rPr>
          <w:rFonts w:asciiTheme="minorHAnsi" w:hAnsiTheme="minorHAnsi" w:cs="Arial"/>
          <w:sz w:val="24"/>
        </w:rPr>
      </w:pPr>
    </w:p>
    <w:p w:rsidR="00AB67FD" w:rsidRPr="00AB67FD" w:rsidRDefault="00AB67FD" w:rsidP="003A6E6D">
      <w:pPr>
        <w:numPr>
          <w:ilvl w:val="0"/>
          <w:numId w:val="5"/>
        </w:numPr>
        <w:spacing w:after="0" w:line="240" w:lineRule="auto"/>
        <w:rPr>
          <w:rFonts w:eastAsia="Times New Roman" w:cs="Arial"/>
          <w:sz w:val="24"/>
        </w:rPr>
      </w:pPr>
      <w:r w:rsidRPr="00AB67FD">
        <w:rPr>
          <w:rFonts w:eastAsia="Arial" w:cs="Arial"/>
          <w:lang w:val="en-CA"/>
        </w:rPr>
        <w:t>Since the first mandate (2005-2010), the annual budget for the JCSH has been $500,000; as a measure to ensure sustainability and fiscal responsibility, the 2020-2025 mandate includes a reduction in the membership fees for a total annual budget of $250,000 ($150,000 from PHAC; $100,000 from member PTs).</w:t>
      </w:r>
      <w:r>
        <w:rPr>
          <w:rFonts w:eastAsia="Arial" w:cs="Arial"/>
          <w:lang w:val="en-CA"/>
        </w:rPr>
        <w:br/>
      </w:r>
    </w:p>
    <w:p w:rsidR="00AB67FD" w:rsidRPr="00AB67FD" w:rsidRDefault="00AB67FD" w:rsidP="00962FB5">
      <w:pPr>
        <w:numPr>
          <w:ilvl w:val="0"/>
          <w:numId w:val="5"/>
        </w:numPr>
        <w:spacing w:after="0" w:line="240" w:lineRule="auto"/>
        <w:rPr>
          <w:rFonts w:eastAsia="Times New Roman" w:cs="Arial"/>
          <w:sz w:val="24"/>
        </w:rPr>
      </w:pPr>
      <w:r w:rsidRPr="00AB67FD">
        <w:rPr>
          <w:rFonts w:eastAsia="Times New Roman" w:cs="Arial"/>
          <w:szCs w:val="24"/>
        </w:rPr>
        <w:t>The funding formula for member contributions is a fixed amount of $2000 for each of the 12 members, with the remaining amount determined by percentage per capita.</w:t>
      </w:r>
    </w:p>
    <w:p w:rsidR="00AB67FD" w:rsidRDefault="00AB67FD" w:rsidP="00AB67FD">
      <w:pPr>
        <w:rPr>
          <w:rFonts w:cs="Arial"/>
          <w:sz w:val="24"/>
        </w:rPr>
      </w:pPr>
    </w:p>
    <w:p w:rsidR="00C30403" w:rsidRPr="002313C9" w:rsidRDefault="00AB67FD" w:rsidP="00AB67FD">
      <w:pPr>
        <w:rPr>
          <w:rFonts w:cs="Arial"/>
          <w:bCs/>
          <w:lang w:val="en-CA"/>
        </w:rPr>
      </w:pPr>
      <w:r w:rsidRPr="00AB67FD">
        <w:rPr>
          <w:rFonts w:cs="Arial"/>
          <w:b/>
          <w:color w:val="2F5496" w:themeColor="accent5" w:themeShade="BF"/>
          <w:sz w:val="28"/>
        </w:rPr>
        <w:t>3. Considerations:</w:t>
      </w:r>
    </w:p>
    <w:p w:rsidR="008C5ABC" w:rsidRPr="002313C9" w:rsidRDefault="008C5ABC" w:rsidP="008C5ABC">
      <w:pPr>
        <w:pStyle w:val="ListParagraph"/>
        <w:numPr>
          <w:ilvl w:val="0"/>
          <w:numId w:val="8"/>
        </w:numPr>
        <w:rPr>
          <w:rFonts w:asciiTheme="minorHAnsi" w:hAnsiTheme="minorHAnsi" w:cs="Arial"/>
          <w:sz w:val="22"/>
          <w:szCs w:val="24"/>
        </w:rPr>
      </w:pPr>
      <w:r w:rsidRPr="002313C9">
        <w:rPr>
          <w:rFonts w:asciiTheme="minorHAnsi" w:hAnsiTheme="minorHAnsi" w:cs="Arial"/>
          <w:sz w:val="22"/>
          <w:lang w:val="en-CA"/>
        </w:rPr>
        <w:t xml:space="preserve">The Proposed Strategic Directions and Mandate Renewal of the JCSH will </w:t>
      </w:r>
      <w:r w:rsidRPr="002313C9">
        <w:rPr>
          <w:rFonts w:asciiTheme="minorHAnsi" w:hAnsiTheme="minorHAnsi" w:cs="Arial"/>
          <w:sz w:val="22"/>
          <w:szCs w:val="24"/>
        </w:rPr>
        <w:t xml:space="preserve">focus on key priority areas as identified by the Federal-Provincial/Territorial Ministers of Health and/or Wellness and the Council of Ministers of Education, Canada (CMEC). </w:t>
      </w:r>
    </w:p>
    <w:p w:rsidR="00C157D4" w:rsidRPr="002313C9" w:rsidRDefault="00C157D4" w:rsidP="00C157D4">
      <w:pPr>
        <w:pStyle w:val="ListParagraph"/>
        <w:rPr>
          <w:rFonts w:asciiTheme="minorHAnsi" w:hAnsiTheme="minorHAnsi" w:cs="Arial"/>
          <w:sz w:val="22"/>
        </w:rPr>
      </w:pPr>
    </w:p>
    <w:p w:rsidR="008C5ABC" w:rsidRPr="008C5ABC" w:rsidRDefault="008C5ABC" w:rsidP="008C5ABC">
      <w:pPr>
        <w:numPr>
          <w:ilvl w:val="0"/>
          <w:numId w:val="8"/>
        </w:numPr>
        <w:spacing w:after="0" w:line="240" w:lineRule="auto"/>
        <w:contextualSpacing/>
        <w:rPr>
          <w:rFonts w:eastAsia="Cambria" w:cs="Arial"/>
          <w:color w:val="000000"/>
          <w:szCs w:val="24"/>
        </w:rPr>
      </w:pPr>
      <w:r w:rsidRPr="008C5ABC">
        <w:rPr>
          <w:rFonts w:eastAsia="Cambria" w:cs="Arial"/>
          <w:color w:val="000000"/>
          <w:szCs w:val="24"/>
        </w:rPr>
        <w:t xml:space="preserve">The key priorities put forward in the JCSH mandate include: </w:t>
      </w:r>
    </w:p>
    <w:p w:rsidR="008C5ABC" w:rsidRPr="002313C9" w:rsidRDefault="008C5ABC" w:rsidP="008C5ABC">
      <w:pPr>
        <w:widowControl w:val="0"/>
        <w:numPr>
          <w:ilvl w:val="1"/>
          <w:numId w:val="9"/>
        </w:numPr>
        <w:autoSpaceDE w:val="0"/>
        <w:autoSpaceDN w:val="0"/>
        <w:adjustRightInd w:val="0"/>
        <w:spacing w:after="0" w:line="240" w:lineRule="auto"/>
        <w:contextualSpacing/>
        <w:rPr>
          <w:rFonts w:eastAsia="Cambria" w:cs="Arial"/>
          <w:b/>
          <w:color w:val="000000"/>
          <w:szCs w:val="24"/>
        </w:rPr>
      </w:pPr>
      <w:r w:rsidRPr="008C5ABC">
        <w:rPr>
          <w:rFonts w:eastAsia="Cambria" w:cs="Arial"/>
          <w:b/>
          <w:color w:val="000000"/>
          <w:szCs w:val="24"/>
        </w:rPr>
        <w:t xml:space="preserve">Mental well-being, </w:t>
      </w:r>
      <w:r w:rsidRPr="008C5ABC">
        <w:rPr>
          <w:rFonts w:eastAsia="Cambria" w:cs="Arial"/>
          <w:color w:val="000000"/>
          <w:szCs w:val="24"/>
        </w:rPr>
        <w:t xml:space="preserve">including </w:t>
      </w:r>
      <w:r w:rsidRPr="002313C9">
        <w:rPr>
          <w:rFonts w:eastAsia="Cambria" w:cs="Arial"/>
          <w:color w:val="000000"/>
          <w:szCs w:val="24"/>
        </w:rPr>
        <w:t xml:space="preserve">supporting students and school communities during and after COVID-19, </w:t>
      </w:r>
      <w:r w:rsidRPr="008C5ABC">
        <w:rPr>
          <w:rFonts w:eastAsia="Cambria" w:cs="Arial"/>
          <w:color w:val="000000"/>
          <w:szCs w:val="24"/>
        </w:rPr>
        <w:t>social-emotional learning, resiliency, anxiety, protective factors</w:t>
      </w:r>
      <w:r w:rsidR="002313C9" w:rsidRPr="002313C9">
        <w:rPr>
          <w:rFonts w:eastAsia="Cambria" w:cs="Arial"/>
          <w:color w:val="000000"/>
          <w:szCs w:val="24"/>
        </w:rPr>
        <w:t>,</w:t>
      </w:r>
      <w:r w:rsidRPr="008C5ABC">
        <w:rPr>
          <w:rFonts w:eastAsia="Cambria" w:cs="Arial"/>
          <w:color w:val="000000"/>
          <w:szCs w:val="24"/>
        </w:rPr>
        <w:t xml:space="preserve"> and disruptive behaviours; </w:t>
      </w:r>
    </w:p>
    <w:p w:rsidR="008C5ABC" w:rsidRPr="008C5ABC" w:rsidRDefault="008C5ABC" w:rsidP="008C5ABC">
      <w:pPr>
        <w:widowControl w:val="0"/>
        <w:numPr>
          <w:ilvl w:val="1"/>
          <w:numId w:val="9"/>
        </w:numPr>
        <w:autoSpaceDE w:val="0"/>
        <w:autoSpaceDN w:val="0"/>
        <w:adjustRightInd w:val="0"/>
        <w:spacing w:after="0" w:line="240" w:lineRule="auto"/>
        <w:contextualSpacing/>
        <w:rPr>
          <w:rFonts w:eastAsia="Cambria" w:cs="Arial"/>
          <w:color w:val="000000"/>
          <w:szCs w:val="24"/>
        </w:rPr>
      </w:pPr>
      <w:r w:rsidRPr="008C5ABC">
        <w:rPr>
          <w:rFonts w:eastAsia="Cambria" w:cs="Arial"/>
          <w:b/>
          <w:color w:val="000000"/>
          <w:szCs w:val="24"/>
        </w:rPr>
        <w:t xml:space="preserve">Problematic substance use, </w:t>
      </w:r>
      <w:r w:rsidRPr="008C5ABC">
        <w:rPr>
          <w:rFonts w:eastAsia="Cambria" w:cs="Arial"/>
          <w:color w:val="000000"/>
          <w:szCs w:val="24"/>
        </w:rPr>
        <w:t>with a strong initial focus on vaping; and</w:t>
      </w:r>
    </w:p>
    <w:p w:rsidR="002313C9" w:rsidRPr="00AB67FD" w:rsidRDefault="008C5ABC" w:rsidP="00B12688">
      <w:pPr>
        <w:numPr>
          <w:ilvl w:val="1"/>
          <w:numId w:val="9"/>
        </w:numPr>
        <w:spacing w:after="0" w:line="240" w:lineRule="auto"/>
        <w:rPr>
          <w:rFonts w:eastAsia="Cambria" w:cs="Arial"/>
          <w:b/>
          <w:color w:val="000000"/>
          <w:szCs w:val="20"/>
        </w:rPr>
      </w:pPr>
      <w:r w:rsidRPr="008C5ABC">
        <w:rPr>
          <w:rFonts w:eastAsia="Cambria" w:cs="Arial"/>
          <w:b/>
          <w:color w:val="000000"/>
          <w:szCs w:val="20"/>
        </w:rPr>
        <w:t xml:space="preserve">School food environment, </w:t>
      </w:r>
      <w:r w:rsidRPr="008C5ABC">
        <w:rPr>
          <w:rFonts w:eastAsia="Cambria" w:cs="Arial"/>
          <w:color w:val="000000"/>
          <w:szCs w:val="20"/>
        </w:rPr>
        <w:t xml:space="preserve">including the alignment of healthy eating school food policies and priorities through the comprehensive school health approach. </w:t>
      </w:r>
    </w:p>
    <w:p w:rsidR="002313C9" w:rsidRPr="002313C9" w:rsidRDefault="002313C9" w:rsidP="002313C9">
      <w:pPr>
        <w:spacing w:after="0" w:line="240" w:lineRule="auto"/>
        <w:ind w:left="720"/>
        <w:rPr>
          <w:rFonts w:cs="Arial"/>
          <w:sz w:val="24"/>
        </w:rPr>
      </w:pPr>
    </w:p>
    <w:p w:rsidR="00AB67FD" w:rsidRDefault="00AB67FD" w:rsidP="00AB67FD">
      <w:pPr>
        <w:pStyle w:val="ListParagraph"/>
        <w:numPr>
          <w:ilvl w:val="0"/>
          <w:numId w:val="3"/>
        </w:numPr>
        <w:rPr>
          <w:rFonts w:asciiTheme="minorHAnsi" w:hAnsiTheme="minorHAnsi" w:cs="Arial"/>
          <w:sz w:val="22"/>
        </w:rPr>
      </w:pPr>
      <w:r w:rsidRPr="00AB67FD">
        <w:rPr>
          <w:rFonts w:asciiTheme="minorHAnsi" w:hAnsiTheme="minorHAnsi" w:cs="Arial"/>
          <w:sz w:val="22"/>
        </w:rPr>
        <w:t xml:space="preserve">The JCSH </w:t>
      </w:r>
      <w:r w:rsidR="00474BC0">
        <w:rPr>
          <w:rFonts w:asciiTheme="minorHAnsi" w:hAnsiTheme="minorHAnsi" w:cs="Arial"/>
          <w:sz w:val="22"/>
        </w:rPr>
        <w:t>i</w:t>
      </w:r>
      <w:r w:rsidRPr="00AB67FD">
        <w:rPr>
          <w:rFonts w:asciiTheme="minorHAnsi" w:hAnsiTheme="minorHAnsi" w:cs="Arial"/>
          <w:sz w:val="22"/>
        </w:rPr>
        <w:t>s able to effectively respond as a knowledge broker on these and other emerging and ongoing issues with member provinces/territories, colleagues in education and health/wellness ministries, and research networks and partners.</w:t>
      </w:r>
    </w:p>
    <w:p w:rsidR="00474BC0" w:rsidRDefault="00474BC0" w:rsidP="00474BC0">
      <w:pPr>
        <w:rPr>
          <w:rFonts w:cs="Arial"/>
        </w:rPr>
      </w:pPr>
    </w:p>
    <w:p w:rsidR="00474BC0" w:rsidRPr="00474BC0" w:rsidRDefault="00474BC0" w:rsidP="00474BC0">
      <w:pPr>
        <w:spacing w:after="0" w:line="240" w:lineRule="auto"/>
        <w:rPr>
          <w:rFonts w:cs="Arial"/>
          <w:b/>
          <w:sz w:val="24"/>
        </w:rPr>
      </w:pPr>
      <w:r w:rsidRPr="00474BC0">
        <w:rPr>
          <w:rFonts w:cs="Arial"/>
          <w:b/>
          <w:sz w:val="24"/>
        </w:rPr>
        <w:t>ATTACHMENTS:</w:t>
      </w:r>
    </w:p>
    <w:p w:rsidR="00474BC0" w:rsidRDefault="00474BC0" w:rsidP="00474BC0">
      <w:pPr>
        <w:spacing w:after="0" w:line="240" w:lineRule="auto"/>
        <w:rPr>
          <w:rFonts w:cs="Arial"/>
          <w:sz w:val="20"/>
        </w:rPr>
      </w:pPr>
      <w:r>
        <w:rPr>
          <w:rFonts w:cs="Arial"/>
          <w:sz w:val="20"/>
        </w:rPr>
        <w:t xml:space="preserve">1. </w:t>
      </w:r>
      <w:r w:rsidRPr="00474BC0">
        <w:rPr>
          <w:rFonts w:cs="Arial"/>
          <w:sz w:val="20"/>
        </w:rPr>
        <w:t>Letter to Minister</w:t>
      </w:r>
    </w:p>
    <w:p w:rsidR="00474BC0" w:rsidRPr="00474BC0" w:rsidRDefault="00474BC0" w:rsidP="00474BC0">
      <w:pPr>
        <w:spacing w:after="0" w:line="240" w:lineRule="auto"/>
        <w:rPr>
          <w:rFonts w:cs="Arial"/>
          <w:sz w:val="20"/>
        </w:rPr>
      </w:pPr>
      <w:r>
        <w:rPr>
          <w:rFonts w:cs="Arial"/>
          <w:sz w:val="20"/>
        </w:rPr>
        <w:t>2. JCSH Agreement 2020-2025</w:t>
      </w:r>
    </w:p>
    <w:p w:rsidR="006B2914" w:rsidRPr="002313C9" w:rsidRDefault="006B2914" w:rsidP="00A9555E">
      <w:pPr>
        <w:spacing w:after="0" w:line="240" w:lineRule="auto"/>
        <w:jc w:val="right"/>
        <w:rPr>
          <w:rStyle w:val="Hyperlink"/>
          <w:rFonts w:cs="Arial"/>
          <w:color w:val="auto"/>
          <w:sz w:val="20"/>
          <w:u w:val="none"/>
        </w:rPr>
      </w:pPr>
      <w:r w:rsidRPr="002313C9">
        <w:rPr>
          <w:rStyle w:val="Hyperlink"/>
          <w:rFonts w:cs="Arial"/>
          <w:color w:val="auto"/>
          <w:sz w:val="20"/>
          <w:u w:val="none"/>
        </w:rPr>
        <w:t>Prepared by JCSH Secretariat</w:t>
      </w:r>
    </w:p>
    <w:p w:rsidR="006D3C8E" w:rsidRPr="00AB67FD" w:rsidRDefault="00AB67FD" w:rsidP="00AB67FD">
      <w:pPr>
        <w:spacing w:after="0" w:line="240" w:lineRule="auto"/>
        <w:jc w:val="right"/>
        <w:rPr>
          <w:rFonts w:cs="Arial"/>
        </w:rPr>
      </w:pPr>
      <w:r>
        <w:rPr>
          <w:rStyle w:val="Hyperlink"/>
          <w:rFonts w:cs="Arial"/>
          <w:color w:val="auto"/>
          <w:sz w:val="20"/>
          <w:u w:val="none"/>
        </w:rPr>
        <w:t>July</w:t>
      </w:r>
      <w:r w:rsidR="006B2914" w:rsidRPr="002313C9">
        <w:rPr>
          <w:rStyle w:val="Hyperlink"/>
          <w:rFonts w:cs="Arial"/>
          <w:color w:val="auto"/>
          <w:sz w:val="20"/>
          <w:u w:val="none"/>
        </w:rPr>
        <w:t xml:space="preserve"> 1</w:t>
      </w:r>
      <w:r w:rsidR="00915F94" w:rsidRPr="002313C9">
        <w:rPr>
          <w:rStyle w:val="Hyperlink"/>
          <w:rFonts w:cs="Arial"/>
          <w:color w:val="auto"/>
          <w:sz w:val="20"/>
          <w:u w:val="none"/>
        </w:rPr>
        <w:t>5</w:t>
      </w:r>
      <w:r>
        <w:rPr>
          <w:rStyle w:val="Hyperlink"/>
          <w:rFonts w:cs="Arial"/>
          <w:color w:val="auto"/>
          <w:sz w:val="20"/>
          <w:u w:val="none"/>
        </w:rPr>
        <w:t xml:space="preserve"> 2020</w:t>
      </w:r>
    </w:p>
    <w:sectPr w:rsidR="006D3C8E" w:rsidRPr="00AB67FD"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15E7"/>
    <w:multiLevelType w:val="hybridMultilevel"/>
    <w:tmpl w:val="44D0496A"/>
    <w:lvl w:ilvl="0" w:tplc="DB46CA90">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2F297041"/>
    <w:multiLevelType w:val="hybridMultilevel"/>
    <w:tmpl w:val="7F545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3633EF"/>
    <w:multiLevelType w:val="hybridMultilevel"/>
    <w:tmpl w:val="09649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88A448E"/>
    <w:multiLevelType w:val="hybridMultilevel"/>
    <w:tmpl w:val="7C9E5C6C"/>
    <w:lvl w:ilvl="0" w:tplc="079A006C">
      <w:start w:val="1"/>
      <w:numFmt w:val="bullet"/>
      <w:lvlText w:val=""/>
      <w:lvlJc w:val="left"/>
      <w:pPr>
        <w:ind w:left="720" w:hanging="360"/>
      </w:pPr>
      <w:rPr>
        <w:rFonts w:ascii="Symbol" w:hAnsi="Symbol" w:hint="default"/>
        <w:color w:val="1F3864" w:themeColor="accent5" w:themeShade="8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81D46"/>
    <w:multiLevelType w:val="hybridMultilevel"/>
    <w:tmpl w:val="69BCE106"/>
    <w:lvl w:ilvl="0" w:tplc="2B804842">
      <w:start w:val="1"/>
      <w:numFmt w:val="bullet"/>
      <w:lvlText w:val=""/>
      <w:lvlJc w:val="left"/>
      <w:pPr>
        <w:ind w:left="630" w:hanging="360"/>
      </w:pPr>
      <w:rPr>
        <w:rFonts w:ascii="Wingdings" w:hAnsi="Wingdings" w:hint="default"/>
        <w:color w:val="auto"/>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6"/>
    <w:rsid w:val="00152629"/>
    <w:rsid w:val="001674E7"/>
    <w:rsid w:val="002204C0"/>
    <w:rsid w:val="002313C9"/>
    <w:rsid w:val="00474BC0"/>
    <w:rsid w:val="004958A6"/>
    <w:rsid w:val="004E69DD"/>
    <w:rsid w:val="00561C5E"/>
    <w:rsid w:val="005B1E53"/>
    <w:rsid w:val="005C7A5B"/>
    <w:rsid w:val="006169B2"/>
    <w:rsid w:val="00665637"/>
    <w:rsid w:val="006B2914"/>
    <w:rsid w:val="006C3912"/>
    <w:rsid w:val="006D3C8E"/>
    <w:rsid w:val="007A710B"/>
    <w:rsid w:val="00873554"/>
    <w:rsid w:val="008C4371"/>
    <w:rsid w:val="008C5ABC"/>
    <w:rsid w:val="00915F94"/>
    <w:rsid w:val="009648BC"/>
    <w:rsid w:val="009B0F67"/>
    <w:rsid w:val="00A26F20"/>
    <w:rsid w:val="00A9555E"/>
    <w:rsid w:val="00A96441"/>
    <w:rsid w:val="00AB67FD"/>
    <w:rsid w:val="00B97D9F"/>
    <w:rsid w:val="00BA5BB9"/>
    <w:rsid w:val="00C157D4"/>
    <w:rsid w:val="00C26B0C"/>
    <w:rsid w:val="00C30403"/>
    <w:rsid w:val="00C84764"/>
    <w:rsid w:val="00CE3DF6"/>
    <w:rsid w:val="00CF394D"/>
    <w:rsid w:val="00D15EF3"/>
    <w:rsid w:val="00F2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2313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1"/>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B1E53"/>
    <w:pPr>
      <w:spacing w:after="120"/>
    </w:pPr>
  </w:style>
  <w:style w:type="character" w:customStyle="1" w:styleId="BodyTextChar">
    <w:name w:val="Body Text Char"/>
    <w:basedOn w:val="DefaultParagraphFont"/>
    <w:link w:val="BodyText"/>
    <w:uiPriority w:val="99"/>
    <w:semiHidden/>
    <w:rsid w:val="005B1E53"/>
  </w:style>
  <w:style w:type="character" w:styleId="Hyperlink">
    <w:name w:val="Hyperlink"/>
    <w:basedOn w:val="DefaultParagraphFont"/>
    <w:uiPriority w:val="99"/>
    <w:unhideWhenUsed/>
    <w:rsid w:val="006B2914"/>
    <w:rPr>
      <w:color w:val="0563C1" w:themeColor="hyperlink"/>
      <w:u w:val="single"/>
    </w:rPr>
  </w:style>
  <w:style w:type="paragraph" w:customStyle="1" w:styleId="BriefingNotes">
    <w:name w:val="BriefingNotes"/>
    <w:basedOn w:val="Normal"/>
    <w:rsid w:val="009B0F67"/>
    <w:pPr>
      <w:spacing w:after="0" w:line="240" w:lineRule="auto"/>
    </w:pPr>
    <w:rPr>
      <w:rFonts w:ascii="Geneva" w:eastAsia="Times New Roman" w:hAnsi="Geneva" w:cs="Times New Roman"/>
      <w:noProof/>
      <w:sz w:val="24"/>
      <w:szCs w:val="20"/>
      <w:lang w:val="en-GB"/>
    </w:rPr>
  </w:style>
  <w:style w:type="character" w:styleId="EndnoteReference">
    <w:name w:val="endnote reference"/>
    <w:basedOn w:val="DefaultParagraphFont"/>
    <w:semiHidden/>
    <w:rsid w:val="009B0F67"/>
    <w:rPr>
      <w:vertAlign w:val="superscript"/>
    </w:rPr>
  </w:style>
  <w:style w:type="character" w:customStyle="1" w:styleId="Heading6Char">
    <w:name w:val="Heading 6 Char"/>
    <w:basedOn w:val="DefaultParagraphFont"/>
    <w:link w:val="Heading6"/>
    <w:uiPriority w:val="9"/>
    <w:semiHidden/>
    <w:rsid w:val="002313C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3247">
      <w:bodyDiv w:val="1"/>
      <w:marLeft w:val="0"/>
      <w:marRight w:val="0"/>
      <w:marTop w:val="0"/>
      <w:marBottom w:val="0"/>
      <w:divBdr>
        <w:top w:val="none" w:sz="0" w:space="0" w:color="auto"/>
        <w:left w:val="none" w:sz="0" w:space="0" w:color="auto"/>
        <w:bottom w:val="none" w:sz="0" w:space="0" w:color="auto"/>
        <w:right w:val="none" w:sz="0" w:space="0" w:color="auto"/>
      </w:divBdr>
    </w:div>
    <w:div w:id="15889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2020-07-15T19:57:00Z</dcterms:created>
  <dcterms:modified xsi:type="dcterms:W3CDTF">2020-07-15T19:57:00Z</dcterms:modified>
</cp:coreProperties>
</file>